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0B337" w14:textId="0B74D538" w:rsidR="009C3B55" w:rsidRPr="00D55B0F" w:rsidRDefault="009C3B55" w:rsidP="008053F6">
      <w:pPr>
        <w:jc w:val="center"/>
        <w:rPr>
          <w:rFonts w:cs="Times New Roman"/>
        </w:rPr>
      </w:pPr>
    </w:p>
    <w:p w14:paraId="1C246E42" w14:textId="3CA69FB3" w:rsidR="008053F6" w:rsidRPr="00D55B0F" w:rsidRDefault="008053F6" w:rsidP="008053F6">
      <w:pPr>
        <w:jc w:val="center"/>
        <w:rPr>
          <w:rFonts w:cs="Times New Roman"/>
        </w:rPr>
      </w:pPr>
    </w:p>
    <w:p w14:paraId="5F495D52" w14:textId="1C8DF94B" w:rsidR="008053F6" w:rsidRPr="00D55B0F" w:rsidRDefault="008053F6" w:rsidP="008053F6">
      <w:pPr>
        <w:jc w:val="center"/>
        <w:rPr>
          <w:rFonts w:cs="Times New Roman"/>
        </w:rPr>
      </w:pPr>
    </w:p>
    <w:p w14:paraId="0DA1784F" w14:textId="06911BCF" w:rsidR="008053F6" w:rsidRPr="00D55B0F" w:rsidRDefault="008053F6" w:rsidP="008053F6">
      <w:pPr>
        <w:jc w:val="center"/>
        <w:rPr>
          <w:rFonts w:cs="Times New Roman"/>
        </w:rPr>
      </w:pPr>
    </w:p>
    <w:p w14:paraId="07E49504" w14:textId="53B8E39A" w:rsidR="008053F6" w:rsidRPr="00D55B0F" w:rsidRDefault="00293731" w:rsidP="008053F6">
      <w:pPr>
        <w:jc w:val="center"/>
        <w:rPr>
          <w:rFonts w:cs="Times New Roman"/>
        </w:rPr>
      </w:pPr>
      <w:r w:rsidRPr="00D55B0F">
        <w:rPr>
          <w:rFonts w:cs="Times New Roman"/>
          <w:b/>
          <w:bCs/>
        </w:rPr>
        <w:t>Traditional Financial Reporting</w:t>
      </w:r>
    </w:p>
    <w:p w14:paraId="02899393" w14:textId="0B0DAE34" w:rsidR="008053F6" w:rsidRPr="00D55B0F" w:rsidRDefault="008053F6" w:rsidP="008053F6">
      <w:pPr>
        <w:jc w:val="center"/>
        <w:rPr>
          <w:rFonts w:cs="Times New Roman"/>
        </w:rPr>
      </w:pPr>
    </w:p>
    <w:p w14:paraId="26E0C42E" w14:textId="17D2D089" w:rsidR="008053F6" w:rsidRPr="00D55B0F" w:rsidRDefault="008053F6" w:rsidP="008053F6">
      <w:pPr>
        <w:jc w:val="center"/>
        <w:rPr>
          <w:rFonts w:cs="Times New Roman"/>
        </w:rPr>
      </w:pPr>
    </w:p>
    <w:p w14:paraId="0D96D79D" w14:textId="02625DF0" w:rsidR="008053F6" w:rsidRPr="00D55B0F" w:rsidRDefault="00293731" w:rsidP="008053F6">
      <w:pPr>
        <w:jc w:val="center"/>
        <w:rPr>
          <w:rFonts w:cs="Times New Roman"/>
        </w:rPr>
      </w:pPr>
      <w:r w:rsidRPr="00D55B0F">
        <w:rPr>
          <w:rFonts w:cs="Times New Roman"/>
        </w:rPr>
        <w:t>Name</w:t>
      </w:r>
    </w:p>
    <w:p w14:paraId="2B63A24B" w14:textId="73409524" w:rsidR="008053F6" w:rsidRPr="00D55B0F" w:rsidRDefault="00293731" w:rsidP="008053F6">
      <w:pPr>
        <w:jc w:val="center"/>
        <w:rPr>
          <w:rFonts w:cs="Times New Roman"/>
        </w:rPr>
      </w:pPr>
      <w:r w:rsidRPr="00D55B0F">
        <w:rPr>
          <w:rFonts w:cs="Times New Roman"/>
        </w:rPr>
        <w:t>Affiliation</w:t>
      </w:r>
    </w:p>
    <w:p w14:paraId="17CE195F" w14:textId="114DEEEE" w:rsidR="008053F6" w:rsidRPr="00D55B0F" w:rsidRDefault="00293731" w:rsidP="008053F6">
      <w:pPr>
        <w:jc w:val="center"/>
        <w:rPr>
          <w:rFonts w:cs="Times New Roman"/>
        </w:rPr>
      </w:pPr>
      <w:r w:rsidRPr="00D55B0F">
        <w:rPr>
          <w:rFonts w:cs="Times New Roman"/>
        </w:rPr>
        <w:t>Date</w:t>
      </w:r>
    </w:p>
    <w:p w14:paraId="69317B67" w14:textId="5CA6221F" w:rsidR="008053F6" w:rsidRPr="00D55B0F" w:rsidRDefault="008053F6" w:rsidP="008053F6">
      <w:pPr>
        <w:jc w:val="center"/>
        <w:rPr>
          <w:rFonts w:cs="Times New Roman"/>
        </w:rPr>
      </w:pPr>
    </w:p>
    <w:p w14:paraId="6C77F7D2" w14:textId="516B1718" w:rsidR="008053F6" w:rsidRPr="00D55B0F" w:rsidRDefault="008053F6" w:rsidP="008053F6">
      <w:pPr>
        <w:jc w:val="center"/>
        <w:rPr>
          <w:rFonts w:cs="Times New Roman"/>
        </w:rPr>
      </w:pPr>
    </w:p>
    <w:p w14:paraId="1461CB76" w14:textId="06C73C3F" w:rsidR="008053F6" w:rsidRPr="00D55B0F" w:rsidRDefault="008053F6" w:rsidP="008053F6">
      <w:pPr>
        <w:jc w:val="center"/>
        <w:rPr>
          <w:rFonts w:cs="Times New Roman"/>
        </w:rPr>
      </w:pPr>
    </w:p>
    <w:p w14:paraId="245EF037" w14:textId="693231B7" w:rsidR="008053F6" w:rsidRPr="00D55B0F" w:rsidRDefault="008053F6" w:rsidP="008053F6">
      <w:pPr>
        <w:jc w:val="center"/>
        <w:rPr>
          <w:rFonts w:cs="Times New Roman"/>
        </w:rPr>
      </w:pPr>
    </w:p>
    <w:p w14:paraId="45AA1B1D" w14:textId="29DEF503" w:rsidR="008053F6" w:rsidRPr="00D55B0F" w:rsidRDefault="008053F6" w:rsidP="008053F6">
      <w:pPr>
        <w:jc w:val="center"/>
        <w:rPr>
          <w:rFonts w:cs="Times New Roman"/>
        </w:rPr>
      </w:pPr>
    </w:p>
    <w:p w14:paraId="696A46E2" w14:textId="2D2E414A" w:rsidR="008053F6" w:rsidRPr="00D55B0F" w:rsidRDefault="008053F6" w:rsidP="008053F6">
      <w:pPr>
        <w:jc w:val="center"/>
        <w:rPr>
          <w:rFonts w:cs="Times New Roman"/>
        </w:rPr>
      </w:pPr>
    </w:p>
    <w:p w14:paraId="628B9104" w14:textId="1F473E31" w:rsidR="008053F6" w:rsidRPr="00D55B0F" w:rsidRDefault="008053F6" w:rsidP="008053F6">
      <w:pPr>
        <w:jc w:val="center"/>
        <w:rPr>
          <w:rFonts w:cs="Times New Roman"/>
        </w:rPr>
      </w:pPr>
    </w:p>
    <w:p w14:paraId="0B299B52" w14:textId="56385122" w:rsidR="008053F6" w:rsidRPr="00D55B0F" w:rsidRDefault="008053F6" w:rsidP="008053F6">
      <w:pPr>
        <w:jc w:val="center"/>
        <w:rPr>
          <w:rFonts w:cs="Times New Roman"/>
        </w:rPr>
      </w:pPr>
    </w:p>
    <w:p w14:paraId="498D75F8" w14:textId="52F38528" w:rsidR="008053F6" w:rsidRPr="00D55B0F" w:rsidRDefault="008053F6" w:rsidP="008053F6">
      <w:pPr>
        <w:jc w:val="center"/>
        <w:rPr>
          <w:rFonts w:cs="Times New Roman"/>
        </w:rPr>
      </w:pPr>
    </w:p>
    <w:p w14:paraId="6348361B" w14:textId="64509D32" w:rsidR="008053F6" w:rsidRPr="00D55B0F" w:rsidRDefault="008053F6" w:rsidP="008053F6">
      <w:pPr>
        <w:jc w:val="center"/>
        <w:rPr>
          <w:rFonts w:cs="Times New Roman"/>
        </w:rPr>
      </w:pPr>
    </w:p>
    <w:p w14:paraId="03AB7CE1" w14:textId="64E284ED" w:rsidR="008053F6" w:rsidRPr="00D55B0F" w:rsidRDefault="008053F6" w:rsidP="008053F6">
      <w:pPr>
        <w:jc w:val="center"/>
        <w:rPr>
          <w:rFonts w:cs="Times New Roman"/>
        </w:rPr>
      </w:pPr>
    </w:p>
    <w:p w14:paraId="611252FC" w14:textId="1706740D" w:rsidR="008053F6" w:rsidRPr="00D55B0F" w:rsidRDefault="008053F6" w:rsidP="008053F6">
      <w:pPr>
        <w:jc w:val="center"/>
        <w:rPr>
          <w:rFonts w:cs="Times New Roman"/>
        </w:rPr>
      </w:pPr>
    </w:p>
    <w:p w14:paraId="6D9EDCC7" w14:textId="0288B821" w:rsidR="008053F6" w:rsidRPr="00D55B0F" w:rsidRDefault="008053F6" w:rsidP="008053F6">
      <w:pPr>
        <w:jc w:val="center"/>
        <w:rPr>
          <w:rFonts w:cs="Times New Roman"/>
        </w:rPr>
      </w:pPr>
    </w:p>
    <w:p w14:paraId="463B78A0" w14:textId="77777777" w:rsidR="008053F6" w:rsidRPr="00D55B0F" w:rsidRDefault="00293731" w:rsidP="008053F6">
      <w:pPr>
        <w:jc w:val="center"/>
        <w:rPr>
          <w:rFonts w:cs="Times New Roman"/>
          <w:b/>
          <w:bCs/>
        </w:rPr>
      </w:pPr>
      <w:r w:rsidRPr="00D55B0F">
        <w:rPr>
          <w:rFonts w:cs="Times New Roman"/>
          <w:b/>
          <w:bCs/>
        </w:rPr>
        <w:t>Traditional Financial Reporting</w:t>
      </w:r>
    </w:p>
    <w:p w14:paraId="520C8AF3" w14:textId="6BCF8A4D" w:rsidR="008053F6" w:rsidRPr="00D55B0F" w:rsidRDefault="00293731" w:rsidP="00D55B0F">
      <w:pPr>
        <w:rPr>
          <w:rFonts w:cs="Times New Roman"/>
        </w:rPr>
      </w:pPr>
      <w:r w:rsidRPr="00D55B0F">
        <w:rPr>
          <w:rFonts w:cs="Times New Roman"/>
        </w:rPr>
        <w:lastRenderedPageBreak/>
        <w:tab/>
        <w:t xml:space="preserve">Financial statements provide details of a </w:t>
      </w:r>
      <w:r w:rsidR="00AD0534" w:rsidRPr="00D55B0F">
        <w:rPr>
          <w:rFonts w:cs="Times New Roman"/>
        </w:rPr>
        <w:t>business, entity</w:t>
      </w:r>
      <w:r w:rsidRPr="00D55B0F">
        <w:rPr>
          <w:rFonts w:cs="Times New Roman"/>
        </w:rPr>
        <w:t>, or organization</w:t>
      </w:r>
      <w:r w:rsidR="00545613" w:rsidRPr="00D55B0F">
        <w:rPr>
          <w:rFonts w:cs="Times New Roman"/>
        </w:rPr>
        <w:t xml:space="preserve">'s financial </w:t>
      </w:r>
      <w:r w:rsidR="00AD0534" w:rsidRPr="00D55B0F">
        <w:rPr>
          <w:rFonts w:cs="Times New Roman"/>
        </w:rPr>
        <w:t>activities. The</w:t>
      </w:r>
      <w:r w:rsidR="00545613" w:rsidRPr="00D55B0F">
        <w:rPr>
          <w:rFonts w:cs="Times New Roman"/>
        </w:rPr>
        <w:t xml:space="preserve"> report also provides data regarding the changes in financial position and financial </w:t>
      </w:r>
      <w:r w:rsidR="00AD0534" w:rsidRPr="00D55B0F">
        <w:rPr>
          <w:rFonts w:cs="Times New Roman"/>
        </w:rPr>
        <w:t>performance. The traditional</w:t>
      </w:r>
      <w:r w:rsidR="00545613" w:rsidRPr="00D55B0F">
        <w:rPr>
          <w:rFonts w:cs="Times New Roman"/>
        </w:rPr>
        <w:t xml:space="preserve"> financial </w:t>
      </w:r>
      <w:r w:rsidR="00AD0534" w:rsidRPr="00D55B0F">
        <w:rPr>
          <w:rFonts w:cs="Times New Roman"/>
        </w:rPr>
        <w:t>reporting model</w:t>
      </w:r>
      <w:r w:rsidR="00545613" w:rsidRPr="00D55B0F">
        <w:rPr>
          <w:rFonts w:cs="Times New Roman"/>
        </w:rPr>
        <w:t xml:space="preserve"> is grounded on economic and historical events. In a company I work </w:t>
      </w:r>
      <w:r w:rsidR="00AD0534" w:rsidRPr="00D55B0F">
        <w:rPr>
          <w:rFonts w:cs="Times New Roman"/>
        </w:rPr>
        <w:t>for, their</w:t>
      </w:r>
      <w:r w:rsidR="00545613" w:rsidRPr="00D55B0F">
        <w:rPr>
          <w:rFonts w:cs="Times New Roman"/>
        </w:rPr>
        <w:t xml:space="preserve"> standard financing reporting strictly dealt with its monetary aspects without reporting on the organization's social and environmental impacts</w:t>
      </w:r>
      <w:r w:rsidR="00AD0534" w:rsidRPr="00D55B0F">
        <w:rPr>
          <w:rFonts w:cs="Times New Roman"/>
        </w:rPr>
        <w:t>. Reporting</w:t>
      </w:r>
      <w:r w:rsidR="00545613" w:rsidRPr="00D55B0F">
        <w:rPr>
          <w:rFonts w:cs="Times New Roman"/>
        </w:rPr>
        <w:t xml:space="preserve"> only </w:t>
      </w:r>
      <w:r w:rsidR="00AD0534" w:rsidRPr="00D55B0F">
        <w:rPr>
          <w:rFonts w:cs="Times New Roman"/>
        </w:rPr>
        <w:t xml:space="preserve">on </w:t>
      </w:r>
      <w:r w:rsidR="00545613" w:rsidRPr="00D55B0F">
        <w:rPr>
          <w:rFonts w:cs="Times New Roman"/>
        </w:rPr>
        <w:t xml:space="preserve">the organization's financial issues created a massive difference </w:t>
      </w:r>
      <w:r w:rsidR="004F7674" w:rsidRPr="00D55B0F">
        <w:rPr>
          <w:rFonts w:cs="Times New Roman"/>
        </w:rPr>
        <w:t xml:space="preserve">between the economic and accounting results, translating </w:t>
      </w:r>
      <w:r w:rsidR="00AD0534" w:rsidRPr="00D55B0F">
        <w:rPr>
          <w:rFonts w:cs="Times New Roman"/>
        </w:rPr>
        <w:t>into complex</w:t>
      </w:r>
      <w:r w:rsidR="004F7674" w:rsidRPr="00D55B0F">
        <w:rPr>
          <w:rFonts w:cs="Times New Roman"/>
        </w:rPr>
        <w:t xml:space="preserve"> and </w:t>
      </w:r>
      <w:r w:rsidR="00AD0534" w:rsidRPr="00D55B0F">
        <w:rPr>
          <w:rFonts w:cs="Times New Roman"/>
        </w:rPr>
        <w:t>poor</w:t>
      </w:r>
      <w:r w:rsidR="004F7674" w:rsidRPr="00D55B0F">
        <w:rPr>
          <w:rFonts w:cs="Times New Roman"/>
        </w:rPr>
        <w:t xml:space="preserve"> decision</w:t>
      </w:r>
      <w:r w:rsidR="00AD0534" w:rsidRPr="00D55B0F">
        <w:rPr>
          <w:rFonts w:cs="Times New Roman"/>
        </w:rPr>
        <w:t>-making. Its</w:t>
      </w:r>
      <w:r w:rsidR="004F7674" w:rsidRPr="00D55B0F">
        <w:rPr>
          <w:rFonts w:cs="Times New Roman"/>
        </w:rPr>
        <w:t xml:space="preserve"> financial statements showed the organization’s </w:t>
      </w:r>
      <w:r w:rsidR="00AD0534" w:rsidRPr="00D55B0F">
        <w:rPr>
          <w:rFonts w:cs="Times New Roman"/>
        </w:rPr>
        <w:t>economic</w:t>
      </w:r>
      <w:r w:rsidR="004F7674" w:rsidRPr="00D55B0F">
        <w:rPr>
          <w:rFonts w:cs="Times New Roman"/>
        </w:rPr>
        <w:t xml:space="preserve"> </w:t>
      </w:r>
      <w:r w:rsidR="00AD0534" w:rsidRPr="00D55B0F">
        <w:rPr>
          <w:rFonts w:cs="Times New Roman"/>
        </w:rPr>
        <w:t>situation providing</w:t>
      </w:r>
      <w:r w:rsidR="004F7674" w:rsidRPr="00D55B0F">
        <w:rPr>
          <w:rFonts w:cs="Times New Roman"/>
        </w:rPr>
        <w:t xml:space="preserve"> information to </w:t>
      </w:r>
      <w:r w:rsidR="00AD0534" w:rsidRPr="00D55B0F">
        <w:rPr>
          <w:rFonts w:cs="Times New Roman"/>
        </w:rPr>
        <w:t>third</w:t>
      </w:r>
      <w:r w:rsidR="004F7674" w:rsidRPr="00D55B0F">
        <w:rPr>
          <w:rFonts w:cs="Times New Roman"/>
        </w:rPr>
        <w:t xml:space="preserve"> parties about its performance. It reflected the concepts of </w:t>
      </w:r>
      <w:r w:rsidR="00AD0534" w:rsidRPr="00D55B0F">
        <w:rPr>
          <w:rFonts w:cs="Times New Roman"/>
        </w:rPr>
        <w:t>operation</w:t>
      </w:r>
      <w:r w:rsidR="004F7674" w:rsidRPr="00D55B0F">
        <w:rPr>
          <w:rFonts w:cs="Times New Roman"/>
        </w:rPr>
        <w:t xml:space="preserve"> of the </w:t>
      </w:r>
      <w:r w:rsidR="00AD0534" w:rsidRPr="00D55B0F">
        <w:rPr>
          <w:rFonts w:cs="Times New Roman"/>
        </w:rPr>
        <w:t>firm; however</w:t>
      </w:r>
      <w:r w:rsidR="004F7674" w:rsidRPr="00D55B0F">
        <w:rPr>
          <w:rFonts w:cs="Times New Roman"/>
        </w:rPr>
        <w:t xml:space="preserve">, the formal financial statements did not show the firm's environmental and social </w:t>
      </w:r>
      <w:r w:rsidR="00AD0534" w:rsidRPr="00D55B0F">
        <w:rPr>
          <w:rFonts w:cs="Times New Roman"/>
        </w:rPr>
        <w:t>costs. The</w:t>
      </w:r>
      <w:r w:rsidR="004F7674" w:rsidRPr="00D55B0F">
        <w:rPr>
          <w:rFonts w:cs="Times New Roman"/>
        </w:rPr>
        <w:t xml:space="preserve"> </w:t>
      </w:r>
      <w:r w:rsidR="00AD0534" w:rsidRPr="00D55B0F">
        <w:rPr>
          <w:rFonts w:cs="Times New Roman"/>
        </w:rPr>
        <w:t>report</w:t>
      </w:r>
      <w:r w:rsidR="004F7674" w:rsidRPr="00D55B0F">
        <w:rPr>
          <w:rFonts w:cs="Times New Roman"/>
        </w:rPr>
        <w:t xml:space="preserve"> also lacked information on the commitment and actions of the organization in matters regarding its relation with </w:t>
      </w:r>
      <w:r w:rsidR="00AD0534" w:rsidRPr="00D55B0F">
        <w:rPr>
          <w:rFonts w:cs="Times New Roman"/>
        </w:rPr>
        <w:t>society, shareholders, customers</w:t>
      </w:r>
      <w:r w:rsidR="004F7674" w:rsidRPr="00D55B0F">
        <w:rPr>
          <w:rFonts w:cs="Times New Roman"/>
        </w:rPr>
        <w:t xml:space="preserve">, and </w:t>
      </w:r>
      <w:r w:rsidR="00AD0534" w:rsidRPr="00D55B0F">
        <w:rPr>
          <w:rFonts w:cs="Times New Roman"/>
        </w:rPr>
        <w:t>employees. The</w:t>
      </w:r>
      <w:r w:rsidR="004F7674" w:rsidRPr="00D55B0F">
        <w:rPr>
          <w:rFonts w:cs="Times New Roman"/>
        </w:rPr>
        <w:t xml:space="preserve"> traditional financial statement of the organization also did not </w:t>
      </w:r>
      <w:r w:rsidR="00D74B32" w:rsidRPr="00D55B0F">
        <w:rPr>
          <w:rFonts w:cs="Times New Roman"/>
        </w:rPr>
        <w:t>the impact of its actions on the environment and the community leading to poor decision making</w:t>
      </w:r>
      <w:r w:rsidR="00D55B0F" w:rsidRPr="00D55B0F">
        <w:rPr>
          <w:rFonts w:cs="Times New Roman"/>
        </w:rPr>
        <w:t xml:space="preserve"> ("Where financial reporting still falls short," 2016)</w:t>
      </w:r>
      <w:r w:rsidR="00D74B32" w:rsidRPr="00D55B0F">
        <w:rPr>
          <w:rFonts w:cs="Times New Roman"/>
        </w:rPr>
        <w:t>.</w:t>
      </w:r>
    </w:p>
    <w:p w14:paraId="4F91CF04" w14:textId="361B6D26" w:rsidR="00D74B32" w:rsidRPr="00D55B0F" w:rsidRDefault="00293731" w:rsidP="008053F6">
      <w:pPr>
        <w:rPr>
          <w:rFonts w:cs="Times New Roman"/>
        </w:rPr>
      </w:pPr>
      <w:r w:rsidRPr="00D55B0F">
        <w:rPr>
          <w:rFonts w:cs="Times New Roman"/>
        </w:rPr>
        <w:tab/>
        <w:t xml:space="preserve">The critical disadvantage </w:t>
      </w:r>
      <w:r w:rsidR="00AD0534" w:rsidRPr="00D55B0F">
        <w:rPr>
          <w:rFonts w:cs="Times New Roman"/>
        </w:rPr>
        <w:t>of traditional financial</w:t>
      </w:r>
      <w:r w:rsidRPr="00D55B0F">
        <w:rPr>
          <w:rFonts w:cs="Times New Roman"/>
        </w:rPr>
        <w:t xml:space="preserve"> statements is the failure to meet users' </w:t>
      </w:r>
      <w:r w:rsidR="00AD0534" w:rsidRPr="00D55B0F">
        <w:rPr>
          <w:rFonts w:cs="Times New Roman"/>
        </w:rPr>
        <w:t>needs, focus</w:t>
      </w:r>
      <w:r w:rsidRPr="00D55B0F">
        <w:rPr>
          <w:rFonts w:cs="Times New Roman"/>
        </w:rPr>
        <w:t xml:space="preserve">ing on historical indicators and data rather than non-financial indicators of future </w:t>
      </w:r>
      <w:r w:rsidR="00AD0534" w:rsidRPr="00D55B0F">
        <w:rPr>
          <w:rFonts w:cs="Times New Roman"/>
        </w:rPr>
        <w:t>success. The</w:t>
      </w:r>
      <w:r w:rsidRPr="00D55B0F">
        <w:rPr>
          <w:rFonts w:cs="Times New Roman"/>
        </w:rPr>
        <w:t xml:space="preserve"> report </w:t>
      </w:r>
      <w:r w:rsidR="00AD0534" w:rsidRPr="00D55B0F">
        <w:rPr>
          <w:rFonts w:cs="Times New Roman"/>
        </w:rPr>
        <w:t>al</w:t>
      </w:r>
      <w:r w:rsidRPr="00D55B0F">
        <w:rPr>
          <w:rFonts w:cs="Times New Roman"/>
        </w:rPr>
        <w:t>so focuses on measuring reliable assets rather than intangible knowledge and assets that lay the foundation of success</w:t>
      </w:r>
      <w:r w:rsidR="008A25D0" w:rsidRPr="00D55B0F">
        <w:rPr>
          <w:rFonts w:cs="Times New Roman"/>
        </w:rPr>
        <w:t>.</w:t>
      </w:r>
      <w:r w:rsidR="00AD0534" w:rsidRPr="00D55B0F">
        <w:rPr>
          <w:rFonts w:cs="Times New Roman"/>
        </w:rPr>
        <w:t xml:space="preserve"> Traditional financial reporting also offers limited information regarding factors affecting the creation of value. The model is also associated with difficulties in lack of coherence, complexity, and interpretation. The model also lacks a strategic plan and critical success factors. In conclusion, this</w:t>
      </w:r>
      <w:r w:rsidR="008A25D0" w:rsidRPr="00D55B0F">
        <w:rPr>
          <w:rFonts w:cs="Times New Roman"/>
        </w:rPr>
        <w:t xml:space="preserve"> type of financial statement focuses on a short-term approach and aggregate data, thus creating a gap between the information available to the stakeholders and the data held by managers, resulting in poor decision-making.</w:t>
      </w:r>
    </w:p>
    <w:p w14:paraId="55370A1E" w14:textId="3B8C0D65" w:rsidR="00D55B0F" w:rsidRPr="00D55B0F" w:rsidRDefault="00D55B0F" w:rsidP="008053F6">
      <w:pPr>
        <w:rPr>
          <w:rFonts w:cs="Times New Roman"/>
        </w:rPr>
      </w:pPr>
    </w:p>
    <w:p w14:paraId="06EAB622" w14:textId="7559F30A" w:rsidR="00D55B0F" w:rsidRPr="00D55B0F" w:rsidRDefault="00D55B0F" w:rsidP="008053F6">
      <w:pPr>
        <w:rPr>
          <w:rFonts w:cs="Times New Roman"/>
        </w:rPr>
      </w:pPr>
    </w:p>
    <w:p w14:paraId="16CDCBC9" w14:textId="700F88F3" w:rsidR="00D55B0F" w:rsidRPr="00D55B0F" w:rsidRDefault="00D55B0F" w:rsidP="008053F6">
      <w:pPr>
        <w:rPr>
          <w:rFonts w:cs="Times New Roman"/>
        </w:rPr>
      </w:pPr>
    </w:p>
    <w:p w14:paraId="1F05D58E" w14:textId="3DDE650E" w:rsidR="00D55B0F" w:rsidRPr="00D55B0F" w:rsidRDefault="00D55B0F" w:rsidP="008053F6">
      <w:pPr>
        <w:rPr>
          <w:rFonts w:cs="Times New Roman"/>
        </w:rPr>
      </w:pPr>
    </w:p>
    <w:p w14:paraId="17D793F8" w14:textId="44544851" w:rsidR="00D55B0F" w:rsidRPr="00D55B0F" w:rsidRDefault="00D55B0F" w:rsidP="008053F6">
      <w:pPr>
        <w:rPr>
          <w:rFonts w:cs="Times New Roman"/>
        </w:rPr>
      </w:pPr>
    </w:p>
    <w:p w14:paraId="7067203E" w14:textId="3F4CDC0A" w:rsidR="00D55B0F" w:rsidRPr="00D55B0F" w:rsidRDefault="00D55B0F" w:rsidP="008053F6">
      <w:pPr>
        <w:rPr>
          <w:rFonts w:cs="Times New Roman"/>
        </w:rPr>
      </w:pPr>
    </w:p>
    <w:p w14:paraId="02A24CAB" w14:textId="2763F837" w:rsidR="00D55B0F" w:rsidRPr="00D55B0F" w:rsidRDefault="00D55B0F" w:rsidP="008053F6">
      <w:pPr>
        <w:rPr>
          <w:rFonts w:cs="Times New Roman"/>
        </w:rPr>
      </w:pPr>
    </w:p>
    <w:p w14:paraId="41362362" w14:textId="54F8496E" w:rsidR="00D55B0F" w:rsidRPr="00D55B0F" w:rsidRDefault="00D55B0F" w:rsidP="008053F6">
      <w:pPr>
        <w:rPr>
          <w:rFonts w:cs="Times New Roman"/>
        </w:rPr>
      </w:pPr>
    </w:p>
    <w:p w14:paraId="5425F134" w14:textId="4EA3357A" w:rsidR="00D55B0F" w:rsidRPr="00D55B0F" w:rsidRDefault="00D55B0F" w:rsidP="008053F6">
      <w:pPr>
        <w:rPr>
          <w:rFonts w:cs="Times New Roman"/>
        </w:rPr>
      </w:pPr>
    </w:p>
    <w:p w14:paraId="66475E23" w14:textId="5AF3563B" w:rsidR="00D55B0F" w:rsidRPr="00D55B0F" w:rsidRDefault="00D55B0F" w:rsidP="008053F6">
      <w:pPr>
        <w:rPr>
          <w:rFonts w:cs="Times New Roman"/>
        </w:rPr>
      </w:pPr>
    </w:p>
    <w:p w14:paraId="443FF664" w14:textId="64DC35D0" w:rsidR="00D55B0F" w:rsidRPr="00D55B0F" w:rsidRDefault="00D55B0F" w:rsidP="008053F6">
      <w:pPr>
        <w:rPr>
          <w:rFonts w:cs="Times New Roman"/>
        </w:rPr>
      </w:pPr>
    </w:p>
    <w:p w14:paraId="6F096472" w14:textId="565F5B3B" w:rsidR="00D55B0F" w:rsidRPr="00D55B0F" w:rsidRDefault="00D55B0F" w:rsidP="008053F6">
      <w:pPr>
        <w:rPr>
          <w:rFonts w:cs="Times New Roman"/>
        </w:rPr>
      </w:pPr>
    </w:p>
    <w:p w14:paraId="233BBCFA" w14:textId="45CD94CB" w:rsidR="00D55B0F" w:rsidRPr="00D55B0F" w:rsidRDefault="00D55B0F" w:rsidP="008053F6">
      <w:pPr>
        <w:rPr>
          <w:rFonts w:cs="Times New Roman"/>
        </w:rPr>
      </w:pPr>
    </w:p>
    <w:p w14:paraId="7AD1FEA4" w14:textId="6522E40B" w:rsidR="00D55B0F" w:rsidRPr="00D55B0F" w:rsidRDefault="00D55B0F" w:rsidP="008053F6">
      <w:pPr>
        <w:rPr>
          <w:rFonts w:cs="Times New Roman"/>
        </w:rPr>
      </w:pPr>
    </w:p>
    <w:p w14:paraId="06936D9D" w14:textId="60E0DDED" w:rsidR="00D55B0F" w:rsidRPr="00D55B0F" w:rsidRDefault="00D55B0F" w:rsidP="008053F6">
      <w:pPr>
        <w:rPr>
          <w:rFonts w:cs="Times New Roman"/>
        </w:rPr>
      </w:pPr>
    </w:p>
    <w:p w14:paraId="2DAEA849" w14:textId="207AD489" w:rsidR="00D55B0F" w:rsidRPr="00D55B0F" w:rsidRDefault="00D55B0F" w:rsidP="008053F6">
      <w:pPr>
        <w:rPr>
          <w:rFonts w:cs="Times New Roman"/>
        </w:rPr>
      </w:pPr>
    </w:p>
    <w:p w14:paraId="23384158" w14:textId="402FA1F0" w:rsidR="00D55B0F" w:rsidRPr="00D55B0F" w:rsidRDefault="00D55B0F" w:rsidP="008053F6">
      <w:pPr>
        <w:rPr>
          <w:rFonts w:cs="Times New Roman"/>
        </w:rPr>
      </w:pPr>
    </w:p>
    <w:p w14:paraId="7E644D46" w14:textId="68F57582" w:rsidR="00D55B0F" w:rsidRPr="00D55B0F" w:rsidRDefault="00D55B0F" w:rsidP="008053F6">
      <w:pPr>
        <w:rPr>
          <w:rFonts w:cs="Times New Roman"/>
        </w:rPr>
      </w:pPr>
    </w:p>
    <w:p w14:paraId="2BA9D877" w14:textId="2DE217B6" w:rsidR="00D55B0F" w:rsidRPr="00D55B0F" w:rsidRDefault="00D55B0F" w:rsidP="008053F6">
      <w:pPr>
        <w:rPr>
          <w:rFonts w:cs="Times New Roman"/>
        </w:rPr>
      </w:pPr>
    </w:p>
    <w:p w14:paraId="55B469B9" w14:textId="0548B86D" w:rsidR="00D55B0F" w:rsidRPr="00D55B0F" w:rsidRDefault="00D55B0F" w:rsidP="008053F6">
      <w:pPr>
        <w:rPr>
          <w:rFonts w:cs="Times New Roman"/>
        </w:rPr>
      </w:pPr>
    </w:p>
    <w:p w14:paraId="51D7D562" w14:textId="6021FBBF" w:rsidR="00D55B0F" w:rsidRPr="00D55B0F" w:rsidRDefault="00D55B0F" w:rsidP="008053F6">
      <w:pPr>
        <w:rPr>
          <w:rFonts w:cs="Times New Roman"/>
        </w:rPr>
      </w:pPr>
    </w:p>
    <w:p w14:paraId="7637AA93" w14:textId="77777777" w:rsidR="00D55B0F" w:rsidRPr="00D55B0F" w:rsidRDefault="00D55B0F" w:rsidP="00D55B0F">
      <w:pPr>
        <w:shd w:val="clear" w:color="auto" w:fill="FFFFFF"/>
        <w:spacing w:line="240" w:lineRule="auto"/>
        <w:jc w:val="center"/>
        <w:rPr>
          <w:rFonts w:eastAsia="Times New Roman" w:cs="Times New Roman"/>
          <w:szCs w:val="24"/>
        </w:rPr>
      </w:pPr>
      <w:r w:rsidRPr="00D55B0F">
        <w:rPr>
          <w:rFonts w:eastAsia="Times New Roman" w:cs="Times New Roman"/>
          <w:szCs w:val="24"/>
        </w:rPr>
        <w:t>References</w:t>
      </w:r>
    </w:p>
    <w:p w14:paraId="5097C6C2" w14:textId="77777777" w:rsidR="00D55B0F" w:rsidRPr="00D55B0F" w:rsidRDefault="00D55B0F" w:rsidP="00D55B0F">
      <w:pPr>
        <w:shd w:val="clear" w:color="auto" w:fill="FFFFFF"/>
        <w:spacing w:line="550" w:lineRule="atLeast"/>
        <w:ind w:left="720" w:right="75" w:hanging="720"/>
        <w:rPr>
          <w:rFonts w:eastAsia="Times New Roman" w:cs="Times New Roman"/>
          <w:szCs w:val="24"/>
        </w:rPr>
      </w:pPr>
      <w:r w:rsidRPr="00D55B0F">
        <w:rPr>
          <w:rFonts w:eastAsia="Times New Roman" w:cs="Times New Roman"/>
          <w:i/>
          <w:iCs/>
          <w:szCs w:val="24"/>
        </w:rPr>
        <w:t>Where financial reporting still falls short</w:t>
      </w:r>
      <w:r w:rsidRPr="00D55B0F">
        <w:rPr>
          <w:rFonts w:eastAsia="Times New Roman" w:cs="Times New Roman"/>
          <w:szCs w:val="24"/>
        </w:rPr>
        <w:t>. (2016, July 1). Harvard Business Review. </w:t>
      </w:r>
      <w:hyperlink r:id="rId6" w:history="1">
        <w:r w:rsidRPr="00D55B0F">
          <w:rPr>
            <w:rFonts w:eastAsia="Times New Roman" w:cs="Times New Roman"/>
            <w:szCs w:val="24"/>
            <w:u w:val="single"/>
          </w:rPr>
          <w:t>https://hbr.org/2016/07/where-financial-reporting-still-falls-short</w:t>
        </w:r>
      </w:hyperlink>
    </w:p>
    <w:p w14:paraId="12C3C4DA" w14:textId="77777777" w:rsidR="00D55B0F" w:rsidRPr="00D55B0F" w:rsidRDefault="00D55B0F" w:rsidP="008053F6">
      <w:pPr>
        <w:rPr>
          <w:rFonts w:cs="Times New Roman"/>
        </w:rPr>
      </w:pPr>
    </w:p>
    <w:sectPr w:rsidR="00D55B0F" w:rsidRPr="00D55B0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BB628" w14:textId="77777777" w:rsidR="00293731" w:rsidRDefault="00293731">
      <w:pPr>
        <w:spacing w:line="240" w:lineRule="auto"/>
      </w:pPr>
      <w:r>
        <w:separator/>
      </w:r>
    </w:p>
  </w:endnote>
  <w:endnote w:type="continuationSeparator" w:id="0">
    <w:p w14:paraId="2C65F0C9" w14:textId="77777777" w:rsidR="00293731" w:rsidRDefault="002937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60EF9" w14:textId="77777777" w:rsidR="00293731" w:rsidRDefault="00293731">
      <w:pPr>
        <w:spacing w:line="240" w:lineRule="auto"/>
      </w:pPr>
      <w:r>
        <w:separator/>
      </w:r>
    </w:p>
  </w:footnote>
  <w:footnote w:type="continuationSeparator" w:id="0">
    <w:p w14:paraId="7C8036FA" w14:textId="77777777" w:rsidR="00293731" w:rsidRDefault="002937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6196072"/>
      <w:docPartObj>
        <w:docPartGallery w:val="Page Numbers (Top of Page)"/>
        <w:docPartUnique/>
      </w:docPartObj>
    </w:sdtPr>
    <w:sdtEndPr>
      <w:rPr>
        <w:noProof/>
      </w:rPr>
    </w:sdtEndPr>
    <w:sdtContent>
      <w:p w14:paraId="4623EC5F" w14:textId="2377C5F3" w:rsidR="008053F6" w:rsidRDefault="002937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89332F" w14:textId="77777777" w:rsidR="008053F6" w:rsidRDefault="008053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F6"/>
    <w:rsid w:val="001C4CD1"/>
    <w:rsid w:val="001C63B8"/>
    <w:rsid w:val="00264955"/>
    <w:rsid w:val="002853EC"/>
    <w:rsid w:val="00293731"/>
    <w:rsid w:val="00323F97"/>
    <w:rsid w:val="004F7674"/>
    <w:rsid w:val="00545613"/>
    <w:rsid w:val="005B52A3"/>
    <w:rsid w:val="00675749"/>
    <w:rsid w:val="007A3E1E"/>
    <w:rsid w:val="008053F6"/>
    <w:rsid w:val="008A25D0"/>
    <w:rsid w:val="008E2C11"/>
    <w:rsid w:val="009C3B55"/>
    <w:rsid w:val="00AD0534"/>
    <w:rsid w:val="00B00F3D"/>
    <w:rsid w:val="00BE0B2F"/>
    <w:rsid w:val="00BE2972"/>
    <w:rsid w:val="00CA212C"/>
    <w:rsid w:val="00D55B0F"/>
    <w:rsid w:val="00D74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6E27"/>
  <w15:chartTrackingRefBased/>
  <w15:docId w15:val="{B42AE787-6BB9-4A2F-85A8-E0C1632D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53F6"/>
    <w:pPr>
      <w:tabs>
        <w:tab w:val="center" w:pos="4680"/>
        <w:tab w:val="right" w:pos="9360"/>
      </w:tabs>
      <w:spacing w:line="240" w:lineRule="auto"/>
    </w:pPr>
  </w:style>
  <w:style w:type="character" w:customStyle="1" w:styleId="HeaderChar">
    <w:name w:val="Header Char"/>
    <w:basedOn w:val="DefaultParagraphFont"/>
    <w:link w:val="Header"/>
    <w:uiPriority w:val="99"/>
    <w:rsid w:val="008053F6"/>
  </w:style>
  <w:style w:type="paragraph" w:styleId="Footer">
    <w:name w:val="footer"/>
    <w:basedOn w:val="Normal"/>
    <w:link w:val="FooterChar"/>
    <w:uiPriority w:val="99"/>
    <w:unhideWhenUsed/>
    <w:rsid w:val="008053F6"/>
    <w:pPr>
      <w:tabs>
        <w:tab w:val="center" w:pos="4680"/>
        <w:tab w:val="right" w:pos="9360"/>
      </w:tabs>
      <w:spacing w:line="240" w:lineRule="auto"/>
    </w:pPr>
  </w:style>
  <w:style w:type="character" w:customStyle="1" w:styleId="FooterChar">
    <w:name w:val="Footer Char"/>
    <w:basedOn w:val="DefaultParagraphFont"/>
    <w:link w:val="Footer"/>
    <w:uiPriority w:val="99"/>
    <w:rsid w:val="008053F6"/>
  </w:style>
  <w:style w:type="paragraph" w:styleId="NormalWeb">
    <w:name w:val="Normal (Web)"/>
    <w:basedOn w:val="Normal"/>
    <w:uiPriority w:val="99"/>
    <w:semiHidden/>
    <w:unhideWhenUsed/>
    <w:rsid w:val="00D55B0F"/>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D55B0F"/>
    <w:rPr>
      <w:i/>
      <w:iCs/>
    </w:rPr>
  </w:style>
  <w:style w:type="character" w:styleId="Hyperlink">
    <w:name w:val="Hyperlink"/>
    <w:basedOn w:val="DefaultParagraphFont"/>
    <w:uiPriority w:val="99"/>
    <w:semiHidden/>
    <w:unhideWhenUsed/>
    <w:rsid w:val="00D55B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837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hbr.org/2016/07/where-financial-reporting-still-falls-short"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2021-09-04T20:06:00Z</dcterms:created>
  <dcterms:modified xsi:type="dcterms:W3CDTF">2021-09-04T20:06:00Z</dcterms:modified>
</cp:coreProperties>
</file>